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8235" w14:textId="61247A0F" w:rsidR="008248CC" w:rsidRPr="00471105" w:rsidRDefault="008248CC" w:rsidP="008248CC">
      <w:pPr>
        <w:spacing w:after="240" w:line="360" w:lineRule="auto"/>
        <w:jc w:val="center"/>
        <w:rPr>
          <w:rFonts w:ascii="Bookman Old Style" w:eastAsia="Calibri" w:hAnsi="Bookman Old Style" w:cs="Arial"/>
        </w:rPr>
      </w:pPr>
      <w:bookmarkStart w:id="0" w:name="_Hlk198298227"/>
      <w:r w:rsidRPr="00471105">
        <w:rPr>
          <w:rFonts w:ascii="Bookman Old Style" w:eastAsia="Calibri" w:hAnsi="Bookman Old Style" w:cs="Arial"/>
          <w:b/>
          <w:bCs/>
        </w:rPr>
        <w:t xml:space="preserve">Instruction No. </w:t>
      </w:r>
      <w:r>
        <w:rPr>
          <w:rFonts w:ascii="Bookman Old Style" w:hAnsi="Bookman Old Style"/>
          <w:b/>
        </w:rPr>
        <w:t>1</w:t>
      </w:r>
    </w:p>
    <w:p w14:paraId="6BB6FD9A" w14:textId="77777777" w:rsidR="008248CC" w:rsidRPr="00471105" w:rsidRDefault="008248CC" w:rsidP="008248CC">
      <w:pPr>
        <w:widowControl w:val="0"/>
        <w:spacing w:after="240" w:line="360" w:lineRule="auto"/>
        <w:ind w:firstLine="720"/>
        <w:jc w:val="both"/>
        <w:rPr>
          <w:rFonts w:ascii="Bookman Old Style" w:hAnsi="Bookman Old Style"/>
          <w:b/>
        </w:rPr>
      </w:pPr>
      <w:r w:rsidRPr="00471105">
        <w:rPr>
          <w:rFonts w:ascii="Bookman Old Style" w:hAnsi="Bookman Old Style"/>
        </w:rPr>
        <w:t xml:space="preserve">I would like to read to </w:t>
      </w:r>
      <w:proofErr w:type="gramStart"/>
      <w:r w:rsidRPr="00471105">
        <w:rPr>
          <w:rFonts w:ascii="Bookman Old Style" w:hAnsi="Bookman Old Style"/>
        </w:rPr>
        <w:t>you</w:t>
      </w:r>
      <w:proofErr w:type="gramEnd"/>
      <w:r w:rsidRPr="00471105">
        <w:rPr>
          <w:rFonts w:ascii="Bookman Old Style" w:hAnsi="Bookman Old Style"/>
        </w:rPr>
        <w:t xml:space="preserve"> a general instruction before the commencement of the trial. The Court will provide each juror with a copy of all written instructions that the Court reads to the Jury at any time during the trial.</w:t>
      </w:r>
    </w:p>
    <w:p w14:paraId="662BDF53"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The function of the Court and Jury are distinct, and each is supreme in its own domain. </w:t>
      </w:r>
    </w:p>
    <w:p w14:paraId="3C236006"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It is the exclusive province of the Court to determine the admissibility of all evidence, permitting proper evidence to go to the Jury and excluding from the Jury improper evidence, to define the issues and to instruct you as to the law applicable to the issues. </w:t>
      </w:r>
    </w:p>
    <w:p w14:paraId="34279D19"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On the other hand, it is the exclusive province of the Jury to weigh and consider all evidence which is presented to it, to determine the credibility of all witnesses who testify before it, and from such evidence and testimony, to determine the issues of fact in this case. </w:t>
      </w:r>
    </w:p>
    <w:p w14:paraId="6EC29688"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This duty you shall perform with sincere judgment and sound discretion, uninfluenced by sentiment, conjecture, or by passion or prejudice against any of the litigants in this case, or by public opinion or public feeling. The litigants have the right to demand and expect that you will conscientiously and dispassionately consider and weigh the evidence and apply the law of the case, and that you will reach a just verdict, regardless of the consequences. That verdict must express the individual opinion of each Juror. </w:t>
      </w:r>
    </w:p>
    <w:p w14:paraId="3A15C010"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You are the exclusive judges of the facts and of the effect and value of the evidence, but you must determine the facts from the evidence produced here in Court. If any evidence is admitted and afterwards is ordered by me to be stricken, you must disregard entirely the evidence thus stricken. If any counsel suggests by any question that certain hinted facts are or are not true, you must disregard any such suggestion and must not draw any inference from it. As to any </w:t>
      </w:r>
      <w:r w:rsidRPr="00471105">
        <w:rPr>
          <w:rFonts w:ascii="Bookman Old Style" w:hAnsi="Bookman Old Style"/>
        </w:rPr>
        <w:lastRenderedPageBreak/>
        <w:t xml:space="preserve">statement made by counsel in your presence concerning the facts of the case, you must not regard such a statement as evidence. However, if counsel for all parties stipulate to any fact, you are to regard that fact as being conclusively proved. If in the trial any party admits a fact to be true, such admission may be considered by you as evidence in the case. </w:t>
      </w:r>
    </w:p>
    <w:p w14:paraId="6F760BF0" w14:textId="77777777" w:rsidR="008248CC" w:rsidRPr="00471105" w:rsidRDefault="008248CC" w:rsidP="008248CC">
      <w:pPr>
        <w:spacing w:after="240" w:line="360" w:lineRule="auto"/>
        <w:ind w:firstLine="720"/>
        <w:jc w:val="both"/>
        <w:rPr>
          <w:rFonts w:ascii="Bookman Old Style" w:hAnsi="Bookman Old Style"/>
        </w:rPr>
      </w:pPr>
      <w:r w:rsidRPr="00471105">
        <w:rPr>
          <w:rFonts w:ascii="Bookman Old Style" w:eastAsia="Courier New" w:hAnsi="Bookman Old Style"/>
        </w:rPr>
        <w:t xml:space="preserve">There are two types of evidence from which you may find the truth as to the facts of a case – direct evidence and circumstantial evidence. An example of direct evidence is the testimony of one who asserts actual knowledge of a fact, such as an eyewitness. Circumstantial evidence is the proof of a chain of facts or circumstances from which the existence or non-existence of other facts may be reasonably inferred. The law makes no distinction between the weight to be given to either direct or circumstantial evidence. Both direct evidence and circumstantial evidence are acceptable forms of proof and should be given the weight you feel is appropriate </w:t>
      </w:r>
      <w:proofErr w:type="gramStart"/>
      <w:r w:rsidRPr="00471105">
        <w:rPr>
          <w:rFonts w:ascii="Bookman Old Style" w:eastAsia="Courier New" w:hAnsi="Bookman Old Style"/>
        </w:rPr>
        <w:t>in light of</w:t>
      </w:r>
      <w:proofErr w:type="gramEnd"/>
      <w:r w:rsidRPr="00471105">
        <w:rPr>
          <w:rFonts w:ascii="Bookman Old Style" w:eastAsia="Courier New" w:hAnsi="Bookman Old Style"/>
        </w:rPr>
        <w:t xml:space="preserve"> </w:t>
      </w:r>
      <w:proofErr w:type="gramStart"/>
      <w:r w:rsidRPr="00471105">
        <w:rPr>
          <w:rFonts w:ascii="Bookman Old Style" w:eastAsia="Courier New" w:hAnsi="Bookman Old Style"/>
        </w:rPr>
        <w:t>all of</w:t>
      </w:r>
      <w:proofErr w:type="gramEnd"/>
      <w:r w:rsidRPr="00471105">
        <w:rPr>
          <w:rFonts w:ascii="Bookman Old Style" w:eastAsia="Courier New" w:hAnsi="Bookman Old Style"/>
        </w:rPr>
        <w:t xml:space="preserve"> the evidence.</w:t>
      </w:r>
      <w:r w:rsidRPr="00471105">
        <w:rPr>
          <w:rFonts w:ascii="Bookman Old Style" w:hAnsi="Bookman Old Style"/>
        </w:rPr>
        <w:t xml:space="preserve"> </w:t>
      </w:r>
    </w:p>
    <w:p w14:paraId="1EB4E622"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At times throughout the trial, the Court may be called upon to decide </w:t>
      </w:r>
      <w:proofErr w:type="gramStart"/>
      <w:r w:rsidRPr="00471105">
        <w:rPr>
          <w:rFonts w:ascii="Bookman Old Style" w:hAnsi="Bookman Old Style"/>
        </w:rPr>
        <w:t>whether or not</w:t>
      </w:r>
      <w:proofErr w:type="gramEnd"/>
      <w:r w:rsidRPr="00471105">
        <w:rPr>
          <w:rFonts w:ascii="Bookman Old Style" w:hAnsi="Bookman Old Style"/>
        </w:rPr>
        <w:t xml:space="preserve"> certain </w:t>
      </w:r>
      <w:proofErr w:type="gramStart"/>
      <w:r w:rsidRPr="00471105">
        <w:rPr>
          <w:rFonts w:ascii="Bookman Old Style" w:hAnsi="Bookman Old Style"/>
        </w:rPr>
        <w:t>offered evidence</w:t>
      </w:r>
      <w:proofErr w:type="gramEnd"/>
      <w:r w:rsidRPr="00471105">
        <w:rPr>
          <w:rFonts w:ascii="Bookman Old Style" w:hAnsi="Bookman Old Style"/>
        </w:rPr>
        <w:t xml:space="preserve"> might properly be admitted. You are not to be concerned with the reasons for my rulings and you are not to draw any inferences from them. Whether offered evidence is admissible is purely a question of law. In admitting evidence to which an objection is made, the Court does not determine what weight should be given to such evidence, nor does it pass on the credibility of the witness. As to any offer of evidence that may be rejected by the Court, you, of course, must not consider the same. As to any question to which an objection is sustained, you must not conjecture as to what the answer might be or as to the reason for the objection. </w:t>
      </w:r>
    </w:p>
    <w:p w14:paraId="1CED6837"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Jurors will be permitted to take written notes during the trial if they wish to do so. The Court will provide each juror with materials to be used in taking notes. The Court will also provide each juror with a Juror Notebook to assist the jurors in organizing materials the jurors receive during the trial. Juror Notebooks </w:t>
      </w:r>
      <w:r w:rsidRPr="00471105">
        <w:rPr>
          <w:rFonts w:ascii="Bookman Old Style" w:hAnsi="Bookman Old Style"/>
        </w:rPr>
        <w:lastRenderedPageBreak/>
        <w:t>will include copies of the Court’s written instructions to the Jury, and copies of any other materials which are distributed for the Jury’s use.</w:t>
      </w:r>
    </w:p>
    <w:p w14:paraId="5AC3D2DB"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Jurors may take their notes and notebooks with them for reference during recesses and during their deliberations. However, jurors will not be permitted to take these items out of the courthouse. During recess for lunch and at the end of each day of trial, the jurors’ notes and notebooks will be collected and will be returned to jurors when the trial resumes. </w:t>
      </w:r>
    </w:p>
    <w:p w14:paraId="257D0356"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When the trial has concluded and the Jury has completed its deliberations, all jury notebooks and notes taken by jurors will be collected and promptly destroyed. Jurors are not obligated to take notes. If you do not take notes, you should rely upon your own recollection of the evidence and should not be influenced by notes taken by other jurors. </w:t>
      </w:r>
    </w:p>
    <w:p w14:paraId="47F5C3AC"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Note taking must not interfere with the ongoing course of the trial or distract you from paying attention to what occurs here in Court. Notes taken by any juror are not evidence in the case and must not take precedence over your independent recollection of the evidence received in the case. Notes are only an aid to recollection and are not entitled to any greater weight than actual recollection or the impression of each juror as to what the evidence actually is. </w:t>
      </w:r>
    </w:p>
    <w:p w14:paraId="3A6077A0"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You may use your notes during the Jury’s deliberations at the close of the case. However, except during deliberations, your notes should not be disclosed to anyone.</w:t>
      </w:r>
    </w:p>
    <w:p w14:paraId="21D9FC4F" w14:textId="77777777" w:rsidR="008248CC" w:rsidRPr="00471105" w:rsidRDefault="008248CC" w:rsidP="008248CC">
      <w:pPr>
        <w:spacing w:after="240" w:line="360" w:lineRule="auto"/>
        <w:ind w:firstLine="720"/>
        <w:jc w:val="both"/>
        <w:rPr>
          <w:rFonts w:ascii="Bookman Old Style" w:hAnsi="Bookman Old Style" w:cs="Arial"/>
        </w:rPr>
      </w:pPr>
      <w:r w:rsidRPr="00471105">
        <w:rPr>
          <w:rFonts w:ascii="Bookman Old Style" w:hAnsi="Bookman Old Style" w:cs="Arial"/>
        </w:rPr>
        <w:t>During this trial, you will be permitted to submit written questions for witnesses, if you have questions about the testimony of a witness that have not been answered after the attorneys have finished questioning the witness.</w:t>
      </w:r>
    </w:p>
    <w:p w14:paraId="42B12B9B" w14:textId="77777777" w:rsidR="008248CC" w:rsidRPr="00471105" w:rsidRDefault="008248CC" w:rsidP="008248CC">
      <w:pPr>
        <w:spacing w:after="240" w:line="360" w:lineRule="auto"/>
        <w:ind w:firstLine="720"/>
        <w:jc w:val="both"/>
        <w:rPr>
          <w:rFonts w:ascii="Bookman Old Style" w:hAnsi="Bookman Old Style" w:cs="Arial"/>
        </w:rPr>
      </w:pPr>
      <w:r w:rsidRPr="00471105">
        <w:rPr>
          <w:rFonts w:ascii="Bookman Old Style" w:hAnsi="Bookman Old Style" w:cs="Arial"/>
        </w:rPr>
        <w:t xml:space="preserve">We will use the following procedure to handle questions that you may have. After the attorneys have finished questioning each witness, I will ask the bailiff to collect a piece of paper from each of you. If you have no questions, please write </w:t>
      </w:r>
      <w:r w:rsidRPr="00471105">
        <w:rPr>
          <w:rFonts w:ascii="Bookman Old Style" w:hAnsi="Bookman Old Style" w:cs="Arial"/>
        </w:rPr>
        <w:lastRenderedPageBreak/>
        <w:t>“no questions” on the paper before folding it and giving it to the bailiff. If you have a question, write it down on the paper, fold it, and give it to the bailiff. The reason that I will ask each of you to submit a piece of paper, even if you have no questions, is to protect the privacy of jurors who may wish to ask a question without being identified in open court as the source of that question.</w:t>
      </w:r>
    </w:p>
    <w:p w14:paraId="21E2A909" w14:textId="77777777" w:rsidR="008248CC" w:rsidRPr="00471105" w:rsidRDefault="008248CC" w:rsidP="008248CC">
      <w:pPr>
        <w:spacing w:after="240" w:line="360" w:lineRule="auto"/>
        <w:ind w:firstLine="720"/>
        <w:jc w:val="both"/>
        <w:rPr>
          <w:rFonts w:ascii="Bookman Old Style" w:hAnsi="Bookman Old Style" w:cs="Arial"/>
        </w:rPr>
      </w:pPr>
      <w:r w:rsidRPr="00471105">
        <w:rPr>
          <w:rFonts w:ascii="Bookman Old Style" w:hAnsi="Bookman Old Style" w:cs="Arial"/>
        </w:rPr>
        <w:t>I will review any questions that you submit with the attorneys. After I have done so, any questions that I find to be proper will be asked of the witness before the witness is excused, and the attorneys may then ask some follow-up questions.</w:t>
      </w:r>
    </w:p>
    <w:p w14:paraId="0F7B7BF0" w14:textId="77777777" w:rsidR="008248CC" w:rsidRPr="00471105" w:rsidRDefault="008248CC" w:rsidP="008248CC">
      <w:pPr>
        <w:spacing w:after="240" w:line="360" w:lineRule="auto"/>
        <w:ind w:firstLine="720"/>
        <w:jc w:val="both"/>
        <w:rPr>
          <w:rFonts w:ascii="Bookman Old Style" w:hAnsi="Bookman Old Style" w:cs="Arial"/>
        </w:rPr>
      </w:pPr>
      <w:r w:rsidRPr="00471105">
        <w:rPr>
          <w:rFonts w:ascii="Bookman Old Style" w:hAnsi="Bookman Old Style" w:cs="Arial"/>
        </w:rPr>
        <w:t>I ask you to keep several important points in mind as you consider whether to submit a question for a witness:</w:t>
      </w:r>
    </w:p>
    <w:p w14:paraId="0F4E6C79" w14:textId="77777777" w:rsidR="008248CC" w:rsidRPr="00471105" w:rsidRDefault="008248CC" w:rsidP="008248CC">
      <w:pPr>
        <w:pStyle w:val="ListParagraph"/>
        <w:numPr>
          <w:ilvl w:val="0"/>
          <w:numId w:val="1"/>
        </w:numPr>
        <w:spacing w:after="240" w:line="360" w:lineRule="auto"/>
        <w:jc w:val="both"/>
        <w:rPr>
          <w:rFonts w:ascii="Bookman Old Style" w:hAnsi="Bookman Old Style" w:cs="Arial"/>
        </w:rPr>
      </w:pPr>
      <w:r w:rsidRPr="00471105">
        <w:rPr>
          <w:rFonts w:ascii="Bookman Old Style" w:hAnsi="Bookman Old Style" w:cs="Arial"/>
        </w:rPr>
        <w:t>You should reserve your questions for points that you believe to be important to your ability to decide the issues in this case fairly.</w:t>
      </w:r>
    </w:p>
    <w:p w14:paraId="4EA41FF8" w14:textId="77777777" w:rsidR="008248CC" w:rsidRPr="00471105" w:rsidRDefault="008248CC" w:rsidP="008248CC">
      <w:pPr>
        <w:pStyle w:val="ListParagraph"/>
        <w:spacing w:after="240" w:line="360" w:lineRule="auto"/>
        <w:ind w:left="1440"/>
        <w:jc w:val="both"/>
        <w:rPr>
          <w:rFonts w:ascii="Bookman Old Style" w:hAnsi="Bookman Old Style" w:cs="Arial"/>
        </w:rPr>
      </w:pPr>
    </w:p>
    <w:p w14:paraId="096B47E9" w14:textId="77777777" w:rsidR="008248CC" w:rsidRPr="00471105" w:rsidRDefault="008248CC" w:rsidP="008248CC">
      <w:pPr>
        <w:pStyle w:val="ListParagraph"/>
        <w:numPr>
          <w:ilvl w:val="0"/>
          <w:numId w:val="1"/>
        </w:numPr>
        <w:spacing w:after="240" w:line="360" w:lineRule="auto"/>
        <w:jc w:val="both"/>
        <w:rPr>
          <w:rFonts w:ascii="Bookman Old Style" w:hAnsi="Bookman Old Style" w:cs="Arial"/>
        </w:rPr>
      </w:pPr>
      <w:r w:rsidRPr="00471105">
        <w:rPr>
          <w:rFonts w:ascii="Bookman Old Style" w:hAnsi="Bookman Old Style" w:cs="Arial"/>
        </w:rPr>
        <w:t>You must remember that your role in this trial is that of a neutral fact-finder, not an advocate for one side or the other. Accordingly, you should not use your questions to argue with a witness or to express opinions about the testimony of a witness. The sole purpose of your questions is to permit you to clarify testimony that you have not understood or that has failed to address a factual question that you believe to be important.</w:t>
      </w:r>
    </w:p>
    <w:p w14:paraId="73B26ED0" w14:textId="77777777" w:rsidR="008248CC" w:rsidRPr="00471105" w:rsidRDefault="008248CC" w:rsidP="008248CC">
      <w:pPr>
        <w:pStyle w:val="ListParagraph"/>
        <w:spacing w:after="240" w:line="360" w:lineRule="auto"/>
        <w:ind w:left="1440"/>
        <w:jc w:val="both"/>
        <w:rPr>
          <w:rFonts w:ascii="Bookman Old Style" w:hAnsi="Bookman Old Style" w:cs="Arial"/>
        </w:rPr>
      </w:pPr>
    </w:p>
    <w:p w14:paraId="1F52121B" w14:textId="77777777" w:rsidR="008248CC" w:rsidRPr="00471105" w:rsidRDefault="008248CC" w:rsidP="008248CC">
      <w:pPr>
        <w:pStyle w:val="ListParagraph"/>
        <w:numPr>
          <w:ilvl w:val="0"/>
          <w:numId w:val="1"/>
        </w:numPr>
        <w:spacing w:after="240" w:line="360" w:lineRule="auto"/>
        <w:jc w:val="both"/>
        <w:rPr>
          <w:rFonts w:ascii="Bookman Old Style" w:hAnsi="Bookman Old Style" w:cs="Arial"/>
        </w:rPr>
      </w:pPr>
      <w:r w:rsidRPr="00471105">
        <w:rPr>
          <w:rFonts w:ascii="Bookman Old Style" w:hAnsi="Bookman Old Style" w:cs="Arial"/>
        </w:rPr>
        <w:t xml:space="preserve">Some questions that jurors submit may not be asked of the witness for a few possible reasons. First, some questions are legally improper under our rules for jury trials, and I will not permit jurors (or attorneys) to ask those questions. Second, some questions that jurors propose may be answered by witnesses who will testify later in the trial. In any event, you should not guess or draw inferences about what the answer of a witness might have been to a question </w:t>
      </w:r>
      <w:r w:rsidRPr="00471105">
        <w:rPr>
          <w:rFonts w:ascii="Bookman Old Style" w:hAnsi="Bookman Old Style" w:cs="Arial"/>
        </w:rPr>
        <w:lastRenderedPageBreak/>
        <w:t>that was not asked. It would be unfair to the parties for you to draw such an inference because your inference may be wrong, and the parties have the right to have you decide this case on the basis of the evidence that you have heard, rather than on the basis of your guesses or speculation about matters on which you did not hear testimony.</w:t>
      </w:r>
    </w:p>
    <w:p w14:paraId="2A8D690E"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The Jury is the sole judge of the credibility of the witnesses, and of the weight to be given their testimony. You should take into consideration their demeanor upon the witness stand, their apparent intelligence, their means of knowledge of the facts testified to, the interest, if any, which any witness may have in the outcome of this trial, the prejudice or motives, or feelings of revenge, if any, which have been shown by the evidence. In so doing, you may take into consideration all of the facts and circumstances in the case and give such weight as you think the same are entitled to, in the light of your experience and knowledge of human affairs.</w:t>
      </w:r>
    </w:p>
    <w:p w14:paraId="0E04105C"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A person is qualified to testify as an expert witness if that person has special knowledge, skill, experience, training, or education sufficient to qualify as an expert on the subject to which the testimony relates. Duly qualified experts may give their opinions on questions in controversy at a trial. To assist you in deciding such questions, you may consider the opinion with the reasons given for it, if any, by the expert who gives the opinion. You may also consider the qualifications and credibility of the expert. You are not bound to accept an expert opinion as conclusive, but should give it the weight to which you find it to be entitled. You may disregard any such opinion if you find it to be unreasonable.</w:t>
      </w:r>
    </w:p>
    <w:p w14:paraId="4CF45DD5"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bCs/>
        </w:rPr>
      </w:pPr>
      <w:r w:rsidRPr="00471105">
        <w:rPr>
          <w:rFonts w:ascii="Bookman Old Style" w:hAnsi="Bookman Old Style"/>
          <w:bCs/>
        </w:rPr>
        <w:t xml:space="preserve">In determining the weight to be given to an opinion expressed by a witness who did not testify as an expert, you should consider the credibility of the witness, the extent of the witness’s opportunity to perceive the matters upon which the opinion is based and the reasons, if any, given for it. You are not </w:t>
      </w:r>
      <w:r w:rsidRPr="00471105">
        <w:rPr>
          <w:rFonts w:ascii="Bookman Old Style" w:hAnsi="Bookman Old Style"/>
          <w:bCs/>
        </w:rPr>
        <w:lastRenderedPageBreak/>
        <w:t xml:space="preserve">required to accept such an opinion but should give it the weight to which you find it entitled. </w:t>
      </w:r>
    </w:p>
    <w:p w14:paraId="55C087FF"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You, as jurors, must decide this case based solely on the evidence presented here within the four walls of this courtroom. This means that during trial you must not conduct any independent research about this case, the matters in the case, and the individuals involved in this case. In other words, you should not consult dictionaries or reference materials, search the internet, websites, blogs, or use any other electronic tools to obtain information about this case or to help you decide this case. Please do not try to find out information from any source outside the confines of this courtroom. </w:t>
      </w:r>
    </w:p>
    <w:p w14:paraId="562E36C0"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Please also know that the Court cannot provide you with a written transcript of the proceedings or any witness testimony. You must rely on your own recollection of any testimony or evidence, or the notes you have taken.</w:t>
      </w:r>
    </w:p>
    <w:p w14:paraId="45F739EB"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Until you retire to deliberate, you may not discuss this case with anyone, even your fellow jurors. After you retire to deliberate, you may begin discussing this case with your fellow jurors, but you cannot discuss this case with anyone else until you have returned a verdict and this case is at an end. </w:t>
      </w:r>
    </w:p>
    <w:p w14:paraId="3875C1DD" w14:textId="77777777" w:rsidR="008248CC" w:rsidRPr="00471105" w:rsidRDefault="008248CC" w:rsidP="008248CC">
      <w:pPr>
        <w:pStyle w:val="NormalWeb"/>
        <w:spacing w:before="0" w:beforeAutospacing="0" w:after="240" w:afterAutospacing="0" w:line="360" w:lineRule="auto"/>
        <w:ind w:firstLine="720"/>
        <w:jc w:val="both"/>
        <w:rPr>
          <w:rFonts w:ascii="Bookman Old Style" w:hAnsi="Bookman Old Style"/>
        </w:rPr>
      </w:pPr>
      <w:r w:rsidRPr="00471105">
        <w:rPr>
          <w:rFonts w:ascii="Bookman Old Style" w:hAnsi="Bookman Old Style"/>
        </w:rPr>
        <w:t xml:space="preserve">I know that many of you use cell phones, smart phones, the internet and other tools of technology. You also must not talk to anyone at any time about this case or use these tools to communicate electronically with anyone about this case. This includes your family and friends. </w:t>
      </w:r>
    </w:p>
    <w:p w14:paraId="189B1ECB" w14:textId="77777777" w:rsidR="008248CC" w:rsidRPr="00471105" w:rsidRDefault="008248CC" w:rsidP="008248CC">
      <w:pPr>
        <w:spacing w:after="240" w:line="360" w:lineRule="auto"/>
        <w:ind w:firstLine="720"/>
        <w:jc w:val="both"/>
        <w:rPr>
          <w:rFonts w:ascii="Bookman Old Style" w:hAnsi="Bookman Old Style"/>
        </w:rPr>
      </w:pPr>
      <w:r w:rsidRPr="00471105">
        <w:rPr>
          <w:rFonts w:ascii="Bookman Old Style" w:hAnsi="Bookman Old Style"/>
        </w:rPr>
        <w:t>I expect you to inform me as soon as you become aware of another juror’s violation of these instructions</w:t>
      </w:r>
      <w:bookmarkStart w:id="1" w:name="_Hlk183162639"/>
      <w:r w:rsidRPr="00471105">
        <w:rPr>
          <w:rFonts w:ascii="Bookman Old Style" w:hAnsi="Bookman Old Style"/>
        </w:rPr>
        <w:t xml:space="preserve">. </w:t>
      </w:r>
      <w:bookmarkEnd w:id="1"/>
    </w:p>
    <w:p w14:paraId="11F90D9E" w14:textId="77777777" w:rsidR="008248CC" w:rsidRPr="00471105" w:rsidRDefault="008248CC" w:rsidP="008248CC">
      <w:pPr>
        <w:ind w:left="5040" w:firstLine="720"/>
        <w:jc w:val="both"/>
        <w:rPr>
          <w:rFonts w:ascii="Bookman Old Style" w:eastAsia="Calibri" w:hAnsi="Bookman Old Style" w:cs="Arial"/>
        </w:rPr>
      </w:pPr>
      <w:r w:rsidRPr="00471105">
        <w:rPr>
          <w:rFonts w:ascii="Bookman Old Style" w:eastAsia="Calibri" w:hAnsi="Bookman Old Style" w:cs="Arial"/>
        </w:rPr>
        <w:t>GIVEN:</w:t>
      </w:r>
    </w:p>
    <w:p w14:paraId="1A8C1EE6" w14:textId="77777777" w:rsidR="008248CC" w:rsidRPr="00471105" w:rsidRDefault="008248CC" w:rsidP="008248CC">
      <w:pPr>
        <w:jc w:val="both"/>
        <w:rPr>
          <w:rFonts w:ascii="Bookman Old Style" w:eastAsia="Calibri" w:hAnsi="Bookman Old Style" w:cs="Arial"/>
        </w:rPr>
      </w:pPr>
    </w:p>
    <w:p w14:paraId="0C8A0F63" w14:textId="77777777" w:rsidR="008248CC" w:rsidRPr="00471105" w:rsidRDefault="008248CC" w:rsidP="008248CC">
      <w:pPr>
        <w:jc w:val="both"/>
        <w:rPr>
          <w:rFonts w:ascii="Bookman Old Style" w:eastAsia="Calibri" w:hAnsi="Bookman Old Style" w:cs="Arial"/>
        </w:rPr>
      </w:pPr>
    </w:p>
    <w:p w14:paraId="277CF46D" w14:textId="77777777" w:rsidR="008248CC" w:rsidRPr="00471105" w:rsidRDefault="008248CC" w:rsidP="008248CC">
      <w:pPr>
        <w:ind w:firstLine="720"/>
        <w:jc w:val="both"/>
        <w:rPr>
          <w:rFonts w:ascii="Bookman Old Style" w:eastAsia="Calibri" w:hAnsi="Bookman Old Style" w:cs="Arial"/>
        </w:rPr>
      </w:pP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t>__________________________</w:t>
      </w:r>
    </w:p>
    <w:p w14:paraId="7FB9BA8F" w14:textId="77777777" w:rsidR="008248CC" w:rsidRPr="00471105" w:rsidRDefault="008248CC" w:rsidP="008248CC">
      <w:pPr>
        <w:ind w:left="5760"/>
        <w:jc w:val="both"/>
        <w:rPr>
          <w:rFonts w:ascii="Bookman Old Style" w:eastAsia="Calibri" w:hAnsi="Bookman Old Style" w:cs="Arial"/>
        </w:rPr>
      </w:pPr>
      <w:r w:rsidRPr="00471105">
        <w:rPr>
          <w:rFonts w:ascii="Bookman Old Style" w:eastAsia="Calibri" w:hAnsi="Bookman Old Style" w:cs="Arial"/>
        </w:rPr>
        <w:t>DISTRICT COURT JUDGE</w:t>
      </w:r>
    </w:p>
    <w:bookmarkEnd w:id="0"/>
    <w:p w14:paraId="1336EC4C" w14:textId="77777777" w:rsidR="008248CC" w:rsidRPr="00471105" w:rsidRDefault="008248CC" w:rsidP="008248CC">
      <w:pPr>
        <w:rPr>
          <w:rFonts w:ascii="Bookman Old Style" w:eastAsia="Calibri" w:hAnsi="Bookman Old Style" w:cs="Arial"/>
        </w:rPr>
      </w:pPr>
      <w:r w:rsidRPr="00471105">
        <w:rPr>
          <w:rFonts w:ascii="Bookman Old Style" w:eastAsia="Calibri" w:hAnsi="Bookman Old Style" w:cs="Arial"/>
        </w:rPr>
        <w:br w:type="page"/>
      </w:r>
    </w:p>
    <w:p w14:paraId="3D13EC43" w14:textId="676D02A3" w:rsidR="008248CC" w:rsidRPr="00471105" w:rsidRDefault="008248CC" w:rsidP="008248CC">
      <w:pPr>
        <w:spacing w:after="240" w:line="360" w:lineRule="auto"/>
        <w:jc w:val="center"/>
        <w:rPr>
          <w:rFonts w:ascii="Bookman Old Style" w:eastAsia="Calibri" w:hAnsi="Bookman Old Style" w:cs="Arial"/>
          <w:b/>
          <w:bCs/>
        </w:rPr>
      </w:pPr>
      <w:r w:rsidRPr="00471105">
        <w:rPr>
          <w:rFonts w:ascii="Bookman Old Style" w:eastAsia="Calibri" w:hAnsi="Bookman Old Style" w:cs="Arial"/>
          <w:b/>
          <w:bCs/>
        </w:rPr>
        <w:lastRenderedPageBreak/>
        <w:t xml:space="preserve">Instruction No. </w:t>
      </w:r>
      <w:r>
        <w:rPr>
          <w:rFonts w:ascii="Bookman Old Style" w:eastAsia="Calibri" w:hAnsi="Bookman Old Style" w:cs="Arial"/>
          <w:b/>
          <w:bCs/>
        </w:rPr>
        <w:t>1</w:t>
      </w:r>
      <w:r w:rsidRPr="00471105">
        <w:rPr>
          <w:rFonts w:ascii="Bookman Old Style" w:eastAsia="Calibri" w:hAnsi="Bookman Old Style" w:cs="Arial"/>
          <w:b/>
          <w:bCs/>
        </w:rPr>
        <w:t>A</w:t>
      </w:r>
    </w:p>
    <w:p w14:paraId="405B9936" w14:textId="77777777" w:rsidR="008248CC" w:rsidRPr="00471105" w:rsidRDefault="008248CC" w:rsidP="008248CC">
      <w:pPr>
        <w:spacing w:after="240" w:line="360" w:lineRule="auto"/>
        <w:ind w:firstLine="720"/>
        <w:jc w:val="both"/>
        <w:rPr>
          <w:rFonts w:ascii="Bookman Old Style" w:hAnsi="Bookman Old Style"/>
        </w:rPr>
      </w:pPr>
      <w:r w:rsidRPr="00471105">
        <w:rPr>
          <w:rFonts w:ascii="Bookman Old Style" w:eastAsia="Calibri" w:hAnsi="Bookman Old Style" w:cs="Arial"/>
        </w:rPr>
        <w:t>During this recess and all other recesses, you must not discuss this case with anyone. This includes your family, friends, other jurors, and anyone involved in the trial. If anyone attempts in any way to talk to you about this trial during a recess, it is your obligation to tell the bailiff immediately. Do not watch, listen to, or read any news reports or information concerning this trial on television, on the radio, in a newspaper, or online. Do not speak at all with any of the parties, the witnesses or the attorneys. You are required to keep an open mind until you have heard all of the evidence in this case, the closing arguments of counsel, and the final instructions of law provided by the Court.</w:t>
      </w:r>
      <w:r w:rsidRPr="00471105">
        <w:rPr>
          <w:rFonts w:ascii="Bookman Old Style" w:hAnsi="Bookman Old Style"/>
        </w:rPr>
        <w:t xml:space="preserve"> </w:t>
      </w:r>
    </w:p>
    <w:p w14:paraId="1511826A" w14:textId="77777777" w:rsidR="008248CC" w:rsidRPr="00471105" w:rsidRDefault="008248CC" w:rsidP="008248CC">
      <w:pPr>
        <w:ind w:left="5040" w:firstLine="720"/>
        <w:jc w:val="both"/>
        <w:rPr>
          <w:rFonts w:ascii="Bookman Old Style" w:eastAsia="Calibri" w:hAnsi="Bookman Old Style" w:cs="Arial"/>
        </w:rPr>
      </w:pPr>
      <w:r w:rsidRPr="00471105">
        <w:rPr>
          <w:rFonts w:ascii="Bookman Old Style" w:eastAsia="Calibri" w:hAnsi="Bookman Old Style" w:cs="Arial"/>
        </w:rPr>
        <w:t>GIVEN:</w:t>
      </w:r>
    </w:p>
    <w:p w14:paraId="5BC4CF28" w14:textId="77777777" w:rsidR="008248CC" w:rsidRPr="00471105" w:rsidRDefault="008248CC" w:rsidP="008248CC">
      <w:pPr>
        <w:jc w:val="both"/>
        <w:rPr>
          <w:rFonts w:ascii="Bookman Old Style" w:eastAsia="Calibri" w:hAnsi="Bookman Old Style" w:cs="Arial"/>
        </w:rPr>
      </w:pPr>
    </w:p>
    <w:p w14:paraId="284C29A5" w14:textId="77777777" w:rsidR="008248CC" w:rsidRPr="00471105" w:rsidRDefault="008248CC" w:rsidP="008248CC">
      <w:pPr>
        <w:ind w:firstLine="720"/>
        <w:jc w:val="both"/>
        <w:rPr>
          <w:rFonts w:ascii="Bookman Old Style" w:eastAsia="Calibri" w:hAnsi="Bookman Old Style" w:cs="Arial"/>
        </w:rPr>
      </w:pP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r>
      <w:r w:rsidRPr="00471105">
        <w:rPr>
          <w:rFonts w:ascii="Bookman Old Style" w:eastAsia="Calibri" w:hAnsi="Bookman Old Style" w:cs="Arial"/>
        </w:rPr>
        <w:tab/>
        <w:t>__________________________</w:t>
      </w:r>
    </w:p>
    <w:p w14:paraId="37BD7797" w14:textId="4DB6A30F" w:rsidR="00A15E90" w:rsidRPr="0086294F" w:rsidRDefault="008248CC" w:rsidP="0086294F">
      <w:pPr>
        <w:ind w:left="5760"/>
        <w:jc w:val="both"/>
        <w:rPr>
          <w:rFonts w:ascii="Bookman Old Style" w:eastAsia="Calibri" w:hAnsi="Bookman Old Style" w:cs="Arial"/>
        </w:rPr>
      </w:pPr>
      <w:r w:rsidRPr="00471105">
        <w:rPr>
          <w:rFonts w:ascii="Bookman Old Style" w:eastAsia="Calibri" w:hAnsi="Bookman Old Style" w:cs="Arial"/>
        </w:rPr>
        <w:t>DISTRICT COURT JUDGE</w:t>
      </w:r>
    </w:p>
    <w:sectPr w:rsidR="00A15E90" w:rsidRPr="00862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D1129"/>
    <w:multiLevelType w:val="hybridMultilevel"/>
    <w:tmpl w:val="16E8404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547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CC"/>
    <w:rsid w:val="00032260"/>
    <w:rsid w:val="000367D8"/>
    <w:rsid w:val="000E2597"/>
    <w:rsid w:val="0055113E"/>
    <w:rsid w:val="006A3C99"/>
    <w:rsid w:val="006E1B2C"/>
    <w:rsid w:val="008248CC"/>
    <w:rsid w:val="0086294F"/>
    <w:rsid w:val="008A2832"/>
    <w:rsid w:val="00921892"/>
    <w:rsid w:val="00A15E90"/>
    <w:rsid w:val="00BD2170"/>
    <w:rsid w:val="00EA674A"/>
    <w:rsid w:val="00EB496D"/>
    <w:rsid w:val="00FB5A14"/>
    <w:rsid w:val="00FC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7434"/>
  <w15:chartTrackingRefBased/>
  <w15:docId w15:val="{F2AC1B93-85FB-423F-B0A2-65F761AE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C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4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CC"/>
    <w:rPr>
      <w:rFonts w:eastAsiaTheme="majorEastAsia" w:cstheme="majorBidi"/>
      <w:color w:val="272727" w:themeColor="text1" w:themeTint="D8"/>
    </w:rPr>
  </w:style>
  <w:style w:type="paragraph" w:styleId="Title">
    <w:name w:val="Title"/>
    <w:basedOn w:val="Normal"/>
    <w:next w:val="Normal"/>
    <w:link w:val="TitleChar"/>
    <w:uiPriority w:val="10"/>
    <w:qFormat/>
    <w:rsid w:val="008248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8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8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8CC"/>
    <w:rPr>
      <w:i/>
      <w:iCs/>
      <w:color w:val="404040" w:themeColor="text1" w:themeTint="BF"/>
    </w:rPr>
  </w:style>
  <w:style w:type="paragraph" w:styleId="ListParagraph">
    <w:name w:val="List Paragraph"/>
    <w:basedOn w:val="Normal"/>
    <w:uiPriority w:val="34"/>
    <w:qFormat/>
    <w:rsid w:val="008248CC"/>
    <w:pPr>
      <w:ind w:left="720"/>
      <w:contextualSpacing/>
    </w:pPr>
  </w:style>
  <w:style w:type="character" w:styleId="IntenseEmphasis">
    <w:name w:val="Intense Emphasis"/>
    <w:basedOn w:val="DefaultParagraphFont"/>
    <w:uiPriority w:val="21"/>
    <w:qFormat/>
    <w:rsid w:val="008248CC"/>
    <w:rPr>
      <w:i/>
      <w:iCs/>
      <w:color w:val="0F4761" w:themeColor="accent1" w:themeShade="BF"/>
    </w:rPr>
  </w:style>
  <w:style w:type="paragraph" w:styleId="IntenseQuote">
    <w:name w:val="Intense Quote"/>
    <w:basedOn w:val="Normal"/>
    <w:next w:val="Normal"/>
    <w:link w:val="IntenseQuoteChar"/>
    <w:uiPriority w:val="30"/>
    <w:qFormat/>
    <w:rsid w:val="00824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CC"/>
    <w:rPr>
      <w:i/>
      <w:iCs/>
      <w:color w:val="0F4761" w:themeColor="accent1" w:themeShade="BF"/>
    </w:rPr>
  </w:style>
  <w:style w:type="character" w:styleId="IntenseReference">
    <w:name w:val="Intense Reference"/>
    <w:basedOn w:val="DefaultParagraphFont"/>
    <w:uiPriority w:val="32"/>
    <w:qFormat/>
    <w:rsid w:val="008248CC"/>
    <w:rPr>
      <w:b/>
      <w:bCs/>
      <w:smallCaps/>
      <w:color w:val="0F4761" w:themeColor="accent1" w:themeShade="BF"/>
      <w:spacing w:val="5"/>
    </w:rPr>
  </w:style>
  <w:style w:type="paragraph" w:styleId="NormalWeb">
    <w:name w:val="Normal (Web)"/>
    <w:basedOn w:val="Normal"/>
    <w:uiPriority w:val="99"/>
    <w:unhideWhenUsed/>
    <w:rsid w:val="00824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2150</Words>
  <Characters>10057</Characters>
  <Application>Microsoft Office Word</Application>
  <DocSecurity>0</DocSecurity>
  <Lines>182</Lines>
  <Paragraphs>37</Paragraphs>
  <ScaleCrop>false</ScaleCrop>
  <Company>Wyoming Supreme Court</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Katherine</dc:creator>
  <cp:keywords/>
  <dc:description/>
  <cp:lastModifiedBy>Adams, Katherine</cp:lastModifiedBy>
  <cp:revision>4</cp:revision>
  <dcterms:created xsi:type="dcterms:W3CDTF">2026-01-13T17:56:00Z</dcterms:created>
  <dcterms:modified xsi:type="dcterms:W3CDTF">2026-01-13T18:07:00Z</dcterms:modified>
</cp:coreProperties>
</file>